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tabs>
          <w:tab w:val="clear" w:pos="9360"/>
          <w:tab w:val="right" w:pos="3570"/>
        </w:tabs>
        <w:ind w:left="-720" w:right="-510"/>
        <w:jc w:val="center"/>
      </w:pPr>
      <w:bookmarkStart w:id="0" w:name="_GoBack"/>
      <w:bookmarkEnd w:id="0"/>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AA240E" w:rsidRDefault="00620F81" w:rsidP="00AA240E">
      <w:pPr>
        <w:spacing w:after="0" w:line="0" w:lineRule="atLeast"/>
        <w:outlineLvl w:val="2"/>
        <w:rPr>
          <w:rFonts w:eastAsia="Times New Roman" w:cstheme="minorHAnsi"/>
          <w:b/>
          <w:bCs/>
          <w:color w:val="121625"/>
          <w:sz w:val="21"/>
          <w:szCs w:val="21"/>
        </w:rPr>
      </w:pPr>
      <w:r>
        <w:rPr>
          <w:rFonts w:eastAsia="Times New Roman" w:cstheme="minorHAnsi"/>
          <w:b/>
          <w:bCs/>
          <w:color w:val="121625"/>
          <w:sz w:val="21"/>
          <w:szCs w:val="21"/>
        </w:rPr>
        <w:t>Paris, France</w:t>
      </w:r>
      <w:r w:rsidR="0072759A" w:rsidRPr="00C461EA">
        <w:rPr>
          <w:rFonts w:eastAsia="Times New Roman" w:cstheme="minorHAnsi"/>
          <w:b/>
          <w:bCs/>
          <w:color w:val="121625"/>
          <w:sz w:val="21"/>
          <w:szCs w:val="21"/>
        </w:rPr>
        <w:t xml:space="preserve">: March </w:t>
      </w:r>
      <w:r>
        <w:rPr>
          <w:rFonts w:eastAsia="Times New Roman" w:cstheme="minorHAnsi"/>
          <w:b/>
          <w:bCs/>
          <w:color w:val="121625"/>
          <w:sz w:val="21"/>
          <w:szCs w:val="21"/>
        </w:rPr>
        <w:t>14</w:t>
      </w:r>
      <w:r w:rsidR="0072759A" w:rsidRPr="00C461EA">
        <w:rPr>
          <w:rFonts w:eastAsia="Times New Roman" w:cstheme="minorHAnsi"/>
          <w:b/>
          <w:bCs/>
          <w:color w:val="121625"/>
          <w:sz w:val="21"/>
          <w:szCs w:val="21"/>
        </w:rPr>
        <w:t> </w:t>
      </w:r>
    </w:p>
    <w:p w:rsidR="00782D3D" w:rsidRPr="00C461EA" w:rsidRDefault="0072759A" w:rsidP="00AA240E">
      <w:pPr>
        <w:spacing w:after="0" w:line="0" w:lineRule="atLeast"/>
        <w:outlineLvl w:val="2"/>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620F81">
        <w:rPr>
          <w:rFonts w:eastAsia="Times New Roman" w:cstheme="minorHAnsi"/>
          <w:color w:val="121625"/>
          <w:sz w:val="19"/>
          <w:szCs w:val="19"/>
        </w:rPr>
        <w:t>Thursday, March 14 | 8:3</w:t>
      </w:r>
      <w:r w:rsidRPr="00C461EA">
        <w:rPr>
          <w:rFonts w:eastAsia="Times New Roman" w:cstheme="minorHAnsi"/>
          <w:color w:val="121625"/>
          <w:sz w:val="19"/>
          <w:szCs w:val="19"/>
        </w:rPr>
        <w:t>0 a.m</w:t>
      </w:r>
      <w:r w:rsidR="00782D3D" w:rsidRPr="00C461EA">
        <w:rPr>
          <w:rFonts w:eastAsia="Times New Roman" w:cstheme="minorHAnsi"/>
          <w:color w:val="121625"/>
          <w:sz w:val="19"/>
          <w:szCs w:val="19"/>
        </w:rPr>
        <w:t>. -</w:t>
      </w:r>
      <w:r w:rsidR="00620F81">
        <w:rPr>
          <w:rFonts w:eastAsia="Times New Roman" w:cstheme="minorHAnsi"/>
          <w:color w:val="121625"/>
          <w:sz w:val="19"/>
          <w:szCs w:val="19"/>
        </w:rPr>
        <w:t xml:space="preserve"> 5:3</w:t>
      </w:r>
      <w:r w:rsidRPr="00C461EA">
        <w:rPr>
          <w:rFonts w:eastAsia="Times New Roman" w:cstheme="minorHAnsi"/>
          <w:color w:val="121625"/>
          <w:sz w:val="19"/>
          <w:szCs w:val="19"/>
        </w:rPr>
        <w:t>0 p</w:t>
      </w:r>
      <w:r w:rsidR="00B7577A" w:rsidRPr="00C461EA">
        <w:rPr>
          <w:rFonts w:eastAsia="Times New Roman" w:cstheme="minorHAnsi"/>
          <w:color w:val="121625"/>
          <w:sz w:val="19"/>
          <w:szCs w:val="19"/>
        </w:rPr>
        <w:t xml:space="preserve">.m. </w:t>
      </w:r>
      <w:r w:rsidR="00620F81">
        <w:rPr>
          <w:rFonts w:eastAsia="Times New Roman" w:cstheme="minorHAnsi"/>
          <w:color w:val="121625"/>
          <w:sz w:val="19"/>
          <w:szCs w:val="19"/>
        </w:rPr>
        <w:t>(classroom will open by 08:0</w:t>
      </w:r>
      <w:r w:rsidR="00B7577A" w:rsidRPr="00C461EA">
        <w:rPr>
          <w:rFonts w:eastAsia="Times New Roman" w:cstheme="minorHAnsi"/>
          <w:color w:val="121625"/>
          <w:sz w:val="19"/>
          <w:szCs w:val="19"/>
        </w:rPr>
        <w:t>0 a.m.)</w:t>
      </w:r>
    </w:p>
    <w:p w:rsidR="00620F81" w:rsidRDefault="0072759A" w:rsidP="0072759A">
      <w:pPr>
        <w:spacing w:after="0" w:line="255" w:lineRule="atLeast"/>
        <w:rPr>
          <w:rFonts w:cs="Calibri"/>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620F81" w:rsidRPr="00620F81">
        <w:rPr>
          <w:rFonts w:cs="Calibri"/>
          <w:sz w:val="19"/>
          <w:szCs w:val="19"/>
        </w:rPr>
        <w:t>Mercure Boulogne Billancourt, 37 Place René Clair, 92100 Boulogne-Billancourt, France.</w:t>
      </w:r>
    </w:p>
    <w:p w:rsidR="005C6BE7" w:rsidRPr="00C461EA" w:rsidRDefault="0072759A" w:rsidP="0072759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782D3D"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8" w:history="1">
        <w:r w:rsidR="005C6BE7" w:rsidRPr="00C461EA">
          <w:rPr>
            <w:rStyle w:val="Hyperlink"/>
            <w:rFonts w:cstheme="minorHAnsi"/>
            <w:b/>
            <w:color w:val="auto"/>
            <w:sz w:val="19"/>
            <w:szCs w:val="19"/>
          </w:rPr>
          <w:t>sharecenter@str.com</w:t>
        </w:r>
      </w:hyperlink>
    </w:p>
    <w:p w:rsidR="005C6BE7" w:rsidRPr="00C461EA" w:rsidRDefault="005C6BE7" w:rsidP="0072759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 xml:space="preserve">The workshop is </w:t>
      </w:r>
      <w:r w:rsidR="006C18AF">
        <w:rPr>
          <w:rFonts w:cstheme="minorHAnsi"/>
          <w:bCs/>
          <w:sz w:val="19"/>
          <w:szCs w:val="19"/>
        </w:rPr>
        <w:t xml:space="preserve">USD </w:t>
      </w:r>
      <w:r w:rsidRPr="00C461EA">
        <w:rPr>
          <w:rFonts w:cstheme="minorHAnsi"/>
          <w:bCs/>
          <w:sz w:val="19"/>
          <w:szCs w:val="19"/>
        </w:rPr>
        <w:t>$</w:t>
      </w:r>
      <w:r w:rsidR="006C18AF">
        <w:rPr>
          <w:rFonts w:cstheme="minorHAnsi"/>
          <w:bCs/>
          <w:sz w:val="19"/>
          <w:szCs w:val="19"/>
        </w:rPr>
        <w:t>150</w:t>
      </w:r>
      <w:r w:rsidRPr="00C461EA">
        <w:rPr>
          <w:rFonts w:cstheme="minorHAnsi"/>
          <w:bCs/>
          <w:sz w:val="19"/>
          <w:szCs w:val="19"/>
        </w:rPr>
        <w:t xml:space="preserve"> which includes the </w:t>
      </w:r>
      <w:r w:rsidR="006C18AF">
        <w:rPr>
          <w:rFonts w:cstheme="minorHAnsi"/>
          <w:bCs/>
          <w:sz w:val="19"/>
          <w:szCs w:val="19"/>
        </w:rPr>
        <w:t xml:space="preserve">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20F81">
        <w:rPr>
          <w:rFonts w:eastAsia="Times New Roman" w:cstheme="minorHAnsi"/>
          <w:color w:val="121625"/>
          <w:sz w:val="19"/>
          <w:szCs w:val="19"/>
        </w:rPr>
        <w:t>595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20F81">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69034B" w:rsidRPr="00C461EA" w:rsidRDefault="0069034B" w:rsidP="0069034B">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San Diego, CA</w:t>
      </w:r>
      <w:r w:rsidRPr="00C461EA">
        <w:rPr>
          <w:rFonts w:eastAsia="Times New Roman" w:cstheme="minorHAnsi"/>
          <w:b/>
          <w:bCs/>
          <w:color w:val="121625"/>
          <w:sz w:val="21"/>
          <w:szCs w:val="21"/>
        </w:rPr>
        <w:t xml:space="preserve">: April </w:t>
      </w:r>
      <w:r>
        <w:rPr>
          <w:rFonts w:eastAsia="Times New Roman" w:cstheme="minorHAnsi"/>
          <w:b/>
          <w:bCs/>
          <w:color w:val="121625"/>
          <w:sz w:val="21"/>
          <w:szCs w:val="21"/>
        </w:rPr>
        <w:t>26-27</w:t>
      </w:r>
    </w:p>
    <w:p w:rsidR="0069034B" w:rsidRPr="00C461EA" w:rsidRDefault="0069034B" w:rsidP="0069034B">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April 26 </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Saturday, April 27|8:30 a.m. – 3:00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620F81">
        <w:rPr>
          <w:bCs/>
          <w:sz w:val="19"/>
          <w:szCs w:val="19"/>
        </w:rPr>
        <w:t>San Diego State University’s L. Robert Payne School of Hospitality and Tourism Management, 5500 Campanile Dr., San Diego, CA 92182.</w:t>
      </w:r>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1" w:history="1">
        <w:r w:rsidRPr="00C461EA">
          <w:rPr>
            <w:rStyle w:val="Hyperlink"/>
            <w:rFonts w:cstheme="minorHAnsi"/>
            <w:b/>
            <w:color w:val="auto"/>
            <w:sz w:val="19"/>
            <w:szCs w:val="19"/>
          </w:rPr>
          <w:t>sharecenter@str.com</w:t>
        </w:r>
      </w:hyperlink>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workshop and certification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69034B" w:rsidRPr="00C461EA" w:rsidRDefault="0069034B" w:rsidP="0069034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9532F0" w:rsidRDefault="009532F0" w:rsidP="009532F0">
      <w:pPr>
        <w:spacing w:after="0" w:line="240" w:lineRule="atLeast"/>
        <w:outlineLvl w:val="2"/>
        <w:rPr>
          <w:rFonts w:eastAsia="Times New Roman" w:cstheme="minorHAnsi"/>
          <w:b/>
          <w:bCs/>
          <w:color w:val="121625"/>
          <w:sz w:val="21"/>
          <w:szCs w:val="21"/>
        </w:rPr>
      </w:pPr>
    </w:p>
    <w:p w:rsidR="009532F0" w:rsidRPr="00C461EA" w:rsidRDefault="009532F0" w:rsidP="009532F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Hong Kong, China</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22</w:t>
      </w:r>
    </w:p>
    <w:p w:rsidR="009532F0" w:rsidRPr="00C461EA" w:rsidRDefault="009532F0" w:rsidP="009532F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Pr>
          <w:rFonts w:eastAsia="Times New Roman" w:cstheme="minorHAnsi"/>
          <w:color w:val="121625"/>
          <w:sz w:val="19"/>
          <w:szCs w:val="19"/>
        </w:rPr>
        <w:t>Wednesday, May 22| 8:3</w:t>
      </w:r>
      <w:r w:rsidRPr="00C461EA">
        <w:rPr>
          <w:rFonts w:eastAsia="Times New Roman" w:cstheme="minorHAnsi"/>
          <w:color w:val="121625"/>
          <w:sz w:val="19"/>
          <w:szCs w:val="19"/>
        </w:rPr>
        <w:t xml:space="preserve">0 a.m. - 5:00 p.m. </w:t>
      </w:r>
      <w:r>
        <w:rPr>
          <w:rFonts w:eastAsia="Times New Roman" w:cstheme="minorHAnsi"/>
          <w:color w:val="121625"/>
          <w:sz w:val="19"/>
          <w:szCs w:val="19"/>
        </w:rPr>
        <w:t>(classroom will open by 08:00 a.m.</w:t>
      </w:r>
      <w:r w:rsidRPr="00C461EA">
        <w:rPr>
          <w:rFonts w:eastAsia="Times New Roman" w:cstheme="minorHAnsi"/>
          <w:color w:val="121625"/>
          <w:sz w:val="19"/>
          <w:szCs w:val="19"/>
        </w:rPr>
        <w:t>)</w:t>
      </w:r>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846650">
        <w:rPr>
          <w:bCs/>
          <w:sz w:val="19"/>
          <w:szCs w:val="19"/>
        </w:rPr>
        <w:t>The Hong Kong Polytechnic University located at 17 Science Museum Rd, Hong Kong, China</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00B5104D">
        <w:rPr>
          <w:rFonts w:cstheme="minorHAnsi"/>
          <w:bCs/>
          <w:sz w:val="19"/>
          <w:szCs w:val="19"/>
        </w:rPr>
        <w:t>The workshop is USD $150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9532F0" w:rsidRDefault="009532F0" w:rsidP="009532F0">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B5104D">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USD</w:t>
      </w:r>
      <w:r w:rsidR="00B5104D">
        <w:rPr>
          <w:rFonts w:eastAsia="Times New Roman" w:cstheme="minorHAnsi"/>
          <w:color w:val="121625"/>
          <w:sz w:val="19"/>
          <w:szCs w:val="19"/>
        </w:rPr>
        <w:t xml:space="preserve">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C67D00" w:rsidRDefault="00C67D00" w:rsidP="009532F0">
      <w:pPr>
        <w:spacing w:after="0" w:line="255" w:lineRule="atLeast"/>
        <w:rPr>
          <w:rFonts w:eastAsia="Times New Roman" w:cstheme="minorHAnsi"/>
          <w:b/>
          <w:bCs/>
          <w:iCs/>
          <w:sz w:val="19"/>
          <w:szCs w:val="19"/>
        </w:rPr>
      </w:pPr>
    </w:p>
    <w:p w:rsidR="00C67D00" w:rsidRPr="00C461EA" w:rsidRDefault="00C67D00" w:rsidP="00C67D0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Chicago, IL</w:t>
      </w:r>
      <w:r w:rsidRPr="00C461EA">
        <w:rPr>
          <w:rFonts w:eastAsia="Times New Roman" w:cstheme="minorHAnsi"/>
          <w:b/>
          <w:bCs/>
          <w:color w:val="121625"/>
          <w:sz w:val="21"/>
          <w:szCs w:val="21"/>
        </w:rPr>
        <w:t>: </w:t>
      </w:r>
      <w:r>
        <w:rPr>
          <w:rFonts w:eastAsia="Times New Roman" w:cstheme="minorHAnsi"/>
          <w:b/>
          <w:bCs/>
          <w:color w:val="121625"/>
          <w:sz w:val="21"/>
          <w:szCs w:val="21"/>
        </w:rPr>
        <w:t>June 20-21</w:t>
      </w:r>
    </w:p>
    <w:p w:rsidR="00C67D00" w:rsidRPr="00C461EA" w:rsidRDefault="00C67D00" w:rsidP="00C67D0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June</w:t>
      </w:r>
      <w:r w:rsidRPr="00C461EA">
        <w:rPr>
          <w:rFonts w:eastAsia="Times New Roman" w:cstheme="minorHAnsi"/>
          <w:color w:val="121625"/>
          <w:sz w:val="19"/>
          <w:szCs w:val="19"/>
        </w:rPr>
        <w:t xml:space="preserve"> </w:t>
      </w:r>
      <w:r>
        <w:rPr>
          <w:rFonts w:eastAsia="Times New Roman" w:cstheme="minorHAnsi"/>
          <w:color w:val="121625"/>
          <w:sz w:val="19"/>
          <w:szCs w:val="19"/>
        </w:rPr>
        <w:t>20</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Wednesday July 23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000665B2">
        <w:rPr>
          <w:rFonts w:eastAsia="Times New Roman" w:cstheme="minorHAnsi"/>
          <w:color w:val="121625"/>
          <w:sz w:val="19"/>
          <w:szCs w:val="19"/>
        </w:rPr>
        <w:t xml:space="preserve"> There will be an option to take the exam on July 23 beginning at 1:00 p.m. – 3:00 p.m.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C67D00">
        <w:rPr>
          <w:rFonts w:eastAsia="Times New Roman" w:cstheme="minorHAnsi"/>
          <w:bCs/>
          <w:color w:val="121625"/>
          <w:sz w:val="19"/>
          <w:szCs w:val="19"/>
        </w:rPr>
        <w:t>DePaul University, Driehaus College of Business and the School of Hospitality Leadership’s Center for Hospitality Research and Education located in the DePaul Center at 1 E Jackson Blvd., Chicago, IL 60604</w:t>
      </w:r>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8515B4">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C67D00" w:rsidRPr="00C461EA" w:rsidRDefault="00C67D00" w:rsidP="00C67D0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lastRenderedPageBreak/>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w:t>
      </w:r>
      <w:r>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C67D00" w:rsidRPr="00C461EA" w:rsidRDefault="00C67D00" w:rsidP="009532F0">
      <w:pPr>
        <w:spacing w:after="0" w:line="255" w:lineRule="atLeast"/>
        <w:rPr>
          <w:rFonts w:eastAsia="Times New Roman" w:cstheme="minorHAnsi"/>
          <w:color w:val="121625"/>
          <w:sz w:val="19"/>
          <w:szCs w:val="19"/>
        </w:rPr>
      </w:pPr>
    </w:p>
    <w:p w:rsidR="0072759A" w:rsidRPr="00C461EA" w:rsidRDefault="00AD68DD"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0072759A" w:rsidRPr="00C461EA">
        <w:rPr>
          <w:rFonts w:eastAsia="Times New Roman" w:cstheme="minorHAnsi"/>
          <w:b/>
          <w:bCs/>
          <w:color w:val="121625"/>
          <w:sz w:val="21"/>
          <w:szCs w:val="21"/>
        </w:rPr>
        <w:t>: </w:t>
      </w:r>
      <w:r w:rsidR="00A76AF1">
        <w:rPr>
          <w:rFonts w:eastAsia="Times New Roman" w:cstheme="minorHAnsi"/>
          <w:b/>
          <w:bCs/>
          <w:color w:val="121625"/>
          <w:sz w:val="21"/>
          <w:szCs w:val="21"/>
        </w:rPr>
        <w:t>July 23-24</w:t>
      </w:r>
    </w:p>
    <w:p w:rsidR="005941D0" w:rsidRPr="00C461EA" w:rsidRDefault="0072759A" w:rsidP="005941D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AD68DD">
        <w:rPr>
          <w:rFonts w:eastAsia="Times New Roman" w:cstheme="minorHAnsi"/>
          <w:color w:val="121625"/>
          <w:sz w:val="19"/>
          <w:szCs w:val="19"/>
        </w:rPr>
        <w:t>Tuesday, July</w:t>
      </w:r>
      <w:r w:rsidR="005941D0" w:rsidRPr="00C461EA">
        <w:rPr>
          <w:rFonts w:eastAsia="Times New Roman" w:cstheme="minorHAnsi"/>
          <w:color w:val="121625"/>
          <w:sz w:val="19"/>
          <w:szCs w:val="19"/>
        </w:rPr>
        <w:t xml:space="preserve"> </w:t>
      </w:r>
      <w:r w:rsidR="00AD68DD">
        <w:rPr>
          <w:rFonts w:eastAsia="Times New Roman" w:cstheme="minorHAnsi"/>
          <w:color w:val="121625"/>
          <w:sz w:val="19"/>
          <w:szCs w:val="19"/>
        </w:rPr>
        <w:t>22</w:t>
      </w:r>
      <w:r w:rsidRPr="00C461EA">
        <w:rPr>
          <w:rFonts w:eastAsia="Times New Roman" w:cstheme="minorHAnsi"/>
          <w:color w:val="121625"/>
          <w:sz w:val="19"/>
          <w:szCs w:val="19"/>
        </w:rPr>
        <w:t>| 8:30 a.m.</w:t>
      </w:r>
      <w:r w:rsidR="00AD68DD">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AD68DD">
        <w:rPr>
          <w:rFonts w:eastAsia="Times New Roman" w:cstheme="minorHAnsi"/>
          <w:color w:val="121625"/>
          <w:sz w:val="19"/>
          <w:szCs w:val="19"/>
        </w:rPr>
        <w:t xml:space="preserve">and </w:t>
      </w:r>
      <w:r w:rsidR="00BD43E6">
        <w:rPr>
          <w:rFonts w:eastAsia="Times New Roman" w:cstheme="minorHAnsi"/>
          <w:color w:val="121625"/>
          <w:sz w:val="19"/>
          <w:szCs w:val="19"/>
        </w:rPr>
        <w:t xml:space="preserve">Wednesday </w:t>
      </w:r>
      <w:r w:rsidR="00AD68DD">
        <w:rPr>
          <w:rFonts w:eastAsia="Times New Roman" w:cstheme="minorHAnsi"/>
          <w:color w:val="121625"/>
          <w:sz w:val="19"/>
          <w:szCs w:val="19"/>
        </w:rPr>
        <w:t xml:space="preserve">July 23 | 8:30 a.m. – 12:00 p.m. </w:t>
      </w:r>
      <w:r w:rsidRPr="00C461EA">
        <w:rPr>
          <w:rFonts w:eastAsia="Times New Roman" w:cstheme="minorHAnsi"/>
          <w:color w:val="121625"/>
          <w:sz w:val="19"/>
          <w:szCs w:val="19"/>
        </w:rPr>
        <w:t>(classroom will open by 08:00 a.m.</w:t>
      </w:r>
      <w:r w:rsidR="00AD68DD">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sidR="000665B2">
        <w:rPr>
          <w:rFonts w:eastAsia="Times New Roman" w:cstheme="minorHAnsi"/>
          <w:b/>
          <w:bCs/>
          <w:color w:val="121625"/>
          <w:sz w:val="19"/>
          <w:szCs w:val="19"/>
        </w:rPr>
        <w:t>:</w:t>
      </w:r>
      <w:r w:rsidR="008D1162">
        <w:rPr>
          <w:rFonts w:eastAsia="Times New Roman" w:cstheme="minorHAnsi"/>
          <w:b/>
          <w:bCs/>
          <w:color w:val="121625"/>
          <w:sz w:val="19"/>
          <w:szCs w:val="19"/>
        </w:rPr>
        <w:t xml:space="preserve"> </w:t>
      </w:r>
      <w:r w:rsidR="000665B2">
        <w:rPr>
          <w:rFonts w:eastAsia="Times New Roman" w:cstheme="minorHAnsi"/>
          <w:bCs/>
          <w:color w:val="121625"/>
          <w:sz w:val="19"/>
          <w:szCs w:val="19"/>
        </w:rPr>
        <w:t>The University of New Orleans, Kirschman Hall 462, 2000 Lakeshore Drive, New Orleans, LA 70148</w:t>
      </w:r>
    </w:p>
    <w:p w:rsidR="005C6BE7" w:rsidRPr="00C461EA" w:rsidRDefault="0072759A"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5941D0"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20" w:history="1">
        <w:r w:rsidR="005C6BE7"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w:t>
      </w:r>
      <w:r w:rsidR="006C18AF">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Tuesday, August 14 | 9:00 a.m. - 5:00 p.m. and Wedne</w:t>
      </w:r>
      <w:r w:rsidR="000630F9">
        <w:rPr>
          <w:rFonts w:eastAsia="Times New Roman" w:cstheme="minorHAnsi"/>
          <w:color w:val="121625"/>
          <w:sz w:val="19"/>
          <w:szCs w:val="19"/>
        </w:rPr>
        <w:t>sday, August 15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23"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4"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5" w:history="1">
        <w:r w:rsidRPr="00C461EA">
          <w:rPr>
            <w:rFonts w:eastAsia="Times New Roman" w:cstheme="minorHAnsi"/>
            <w:b/>
            <w:bCs/>
            <w:iCs/>
            <w:sz w:val="19"/>
            <w:szCs w:val="19"/>
          </w:rPr>
          <w:t>chia@ahlei.org</w:t>
        </w:r>
      </w:hyperlink>
    </w:p>
    <w:p w:rsidR="009A5F35" w:rsidRDefault="009A5F35" w:rsidP="00A03EDB">
      <w:pPr>
        <w:spacing w:after="0" w:line="255" w:lineRule="atLeast"/>
        <w:rPr>
          <w:rFonts w:eastAsia="Times New Roman" w:cstheme="minorHAnsi"/>
          <w:b/>
          <w:bCs/>
          <w:iCs/>
          <w:sz w:val="19"/>
          <w:szCs w:val="19"/>
        </w:rPr>
      </w:pPr>
    </w:p>
    <w:p w:rsidR="009A5F35" w:rsidRPr="00C461EA" w:rsidRDefault="009A5F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Frankfort, Germany</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6"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Bad Honnef</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Pr>
          <w:rFonts w:eastAsia="Times New Roman" w:cstheme="minorHAnsi"/>
          <w:color w:val="121625"/>
          <w:sz w:val="19"/>
          <w:szCs w:val="19"/>
        </w:rPr>
        <w:t xml:space="preserve">,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IUBH University of Applied Sciences, Mulheimerstrasse 64, Bad Honnef,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8"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9"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9A5F35" w:rsidRDefault="009A5F35" w:rsidP="00A03EDB">
      <w:pPr>
        <w:spacing w:after="0" w:line="255" w:lineRule="atLeast"/>
        <w:rPr>
          <w:rFonts w:eastAsia="Times New Roman" w:cstheme="minorHAnsi"/>
          <w:b/>
          <w:bCs/>
          <w:iCs/>
          <w:sz w:val="19"/>
          <w:szCs w:val="19"/>
        </w:rPr>
      </w:pP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Saturday November 2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30"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1"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2"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33"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4"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5"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9532F0" w:rsidRDefault="009532F0" w:rsidP="00B80F6A">
      <w:pPr>
        <w:pStyle w:val="BasicParagraph"/>
        <w:tabs>
          <w:tab w:val="left" w:pos="1680"/>
        </w:tabs>
        <w:rPr>
          <w:rFonts w:asciiTheme="minorHAnsi" w:hAnsiTheme="minorHAnsi"/>
          <w:b/>
          <w:color w:val="028675"/>
          <w:sz w:val="21"/>
          <w:szCs w:val="21"/>
        </w:rPr>
      </w:pPr>
    </w:p>
    <w:p w:rsidR="00B1436F" w:rsidRDefault="00B1436F" w:rsidP="00B80F6A">
      <w:pPr>
        <w:pStyle w:val="BasicParagraph"/>
        <w:tabs>
          <w:tab w:val="left" w:pos="1680"/>
        </w:tabs>
        <w:rPr>
          <w:rFonts w:asciiTheme="minorHAnsi" w:hAnsiTheme="minorHAnsi"/>
          <w:b/>
          <w:color w:val="028675"/>
          <w:sz w:val="21"/>
          <w:szCs w:val="21"/>
        </w:rPr>
      </w:pPr>
    </w:p>
    <w:p w:rsidR="00B1436F" w:rsidRDefault="00B1436F"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bCs/>
          <w:i/>
          <w:color w:val="767171" w:themeColor="background2" w:themeShade="80"/>
          <w:sz w:val="20"/>
          <w:szCs w:val="20"/>
        </w:rPr>
      </w:pPr>
      <w:r w:rsidRPr="007D43CE">
        <w:rPr>
          <w:bCs/>
          <w:i/>
          <w:color w:val="767171" w:themeColor="background2" w:themeShade="80"/>
        </w:rPr>
        <w:t xml:space="preserve"> </w:t>
      </w:r>
      <w:r w:rsidRPr="00EE3B72">
        <w:rPr>
          <w:bCs/>
          <w:i/>
          <w:color w:val="767171" w:themeColor="background2" w:themeShade="80"/>
          <w:sz w:val="20"/>
          <w:szCs w:val="20"/>
        </w:rPr>
        <w:t>“I had the pleasure of working with the STR data and STAR reports as teaching tools in my hospitality-tourism courses. STR Reports and data are the most useful analytical tools I ever used in hospitality tourism classes. The BEST part of using STR data is the technical support and ongoing help one gets from the STR Office staff. They are truly incredible partners in hospitality education and hotel analytics. The hotel data they provide is worldwide in reach and it is unparalleled in quality and timeliness. I even used STR data for in my recent travels for research in Hungary, Serbia and several other countries.”</w:t>
      </w:r>
    </w:p>
    <w:p w:rsidR="00B80F6A" w:rsidRPr="00EE3B72" w:rsidRDefault="00B80F6A" w:rsidP="00B80F6A">
      <w:pPr>
        <w:spacing w:after="0" w:line="240" w:lineRule="auto"/>
        <w:rPr>
          <w:bCs/>
          <w:color w:val="028675"/>
          <w:sz w:val="20"/>
          <w:szCs w:val="20"/>
        </w:rPr>
      </w:pPr>
      <w:r w:rsidRPr="00EE3B72">
        <w:rPr>
          <w:bCs/>
          <w:i/>
          <w:color w:val="767171" w:themeColor="background2" w:themeShade="80"/>
          <w:sz w:val="20"/>
          <w:szCs w:val="20"/>
        </w:rPr>
        <w:br/>
      </w:r>
      <w:r w:rsidRPr="00EE3B72">
        <w:rPr>
          <w:bCs/>
          <w:color w:val="028675"/>
          <w:sz w:val="20"/>
          <w:szCs w:val="20"/>
        </w:rPr>
        <w:t xml:space="preserve">- H.G. Parsa, Professor, Hospitality Management, Daniels College of Business, </w:t>
      </w:r>
    </w:p>
    <w:p w:rsidR="00B80F6A" w:rsidRPr="00EE3B72" w:rsidRDefault="00B80F6A" w:rsidP="00B80F6A">
      <w:pPr>
        <w:spacing w:after="0" w:line="240" w:lineRule="auto"/>
        <w:rPr>
          <w:sz w:val="20"/>
          <w:szCs w:val="20"/>
        </w:rPr>
      </w:pPr>
      <w:r>
        <w:rPr>
          <w:bCs/>
          <w:color w:val="028675"/>
          <w:sz w:val="20"/>
          <w:szCs w:val="20"/>
        </w:rPr>
        <w:t xml:space="preserve">  </w:t>
      </w:r>
      <w:r w:rsidRPr="00EE3B72">
        <w:rPr>
          <w:bCs/>
          <w:color w:val="028675"/>
          <w:sz w:val="20"/>
          <w:szCs w:val="20"/>
        </w:rPr>
        <w:t>University of Denver</w:t>
      </w:r>
    </w:p>
    <w:p w:rsidR="00B80F6A" w:rsidRPr="00A03EDB" w:rsidRDefault="00B80F6A" w:rsidP="00B80F6A">
      <w:pPr>
        <w:spacing w:after="0" w:line="240" w:lineRule="auto"/>
        <w:rPr>
          <w:bCs/>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B80F6A" w:rsidRPr="00EE3B72" w:rsidRDefault="00B80F6A" w:rsidP="00B80F6A">
      <w:pPr>
        <w:spacing w:after="0" w:line="240" w:lineRule="auto"/>
        <w:rPr>
          <w:bCs/>
          <w:i/>
          <w:color w:val="767171" w:themeColor="background2" w:themeShade="80"/>
          <w:sz w:val="20"/>
          <w:szCs w:val="20"/>
        </w:rPr>
      </w:pPr>
      <w:r w:rsidRPr="00EE3B72">
        <w:rPr>
          <w:bCs/>
          <w:i/>
          <w:color w:val="767171" w:themeColor="background2" w:themeShade="80"/>
          <w:sz w:val="20"/>
          <w:szCs w:val="20"/>
        </w:rPr>
        <w:t xml:space="preserve">“The SHARE Center is invaluable to our faculty. Having access to timely, relevant industry information is critical for us as we prepare the next generation of leaders. In addition to the continually updated content STR provides us for </w:t>
      </w:r>
      <w:r w:rsidRPr="00EE3B72">
        <w:rPr>
          <w:bCs/>
          <w:i/>
          <w:color w:val="767171" w:themeColor="background2" w:themeShade="80"/>
          <w:sz w:val="20"/>
          <w:szCs w:val="20"/>
        </w:rPr>
        <w:lastRenderedPageBreak/>
        <w:t>incorporation into our classrooms, they are incredibly accessible and helpful in fulfilling ad hoc requests for data for the purposes of illustration or research. I cannot imagine a Hospitality program not using the SHARE Center and engaging with the professionals at STR!”</w:t>
      </w:r>
    </w:p>
    <w:p w:rsidR="00B80F6A" w:rsidRPr="00FD79DF" w:rsidRDefault="00B80F6A" w:rsidP="00B80F6A">
      <w:pPr>
        <w:spacing w:after="0" w:line="240" w:lineRule="auto"/>
        <w:rPr>
          <w:bCs/>
          <w:color w:val="028675"/>
          <w:sz w:val="16"/>
          <w:szCs w:val="16"/>
        </w:rPr>
      </w:pPr>
    </w:p>
    <w:p w:rsidR="00B80F6A" w:rsidRPr="00EE3B72"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Rex Warren, Assistant Professor, The International Hotel College, </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Johnson and Wales University</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lastRenderedPageBreak/>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E1" w:rsidRDefault="003D58E1" w:rsidP="009013D1">
      <w:pPr>
        <w:spacing w:after="0" w:line="240" w:lineRule="auto"/>
      </w:pPr>
      <w:r>
        <w:separator/>
      </w:r>
    </w:p>
  </w:endnote>
  <w:endnote w:type="continuationSeparator" w:id="0">
    <w:p w:rsidR="003D58E1" w:rsidRDefault="003D58E1"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Light">
    <w:altName w:val="Trade Gothic LT Pro Light"/>
    <w:panose1 w:val="020B0604020202020204"/>
    <w:charset w:val="00"/>
    <w:family w:val="swiss"/>
    <w:notTrueType/>
    <w:pitch w:val="variable"/>
    <w:sig w:usb0="800000AF" w:usb1="5000204A" w:usb2="00000000" w:usb3="00000000" w:csb0="0000009B" w:csb1="00000000"/>
  </w:font>
  <w:font w:name="Minion Pro">
    <w:altName w:val="Times New Roman"/>
    <w:panose1 w:val="02040503050306020203"/>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E1" w:rsidRDefault="003D58E1" w:rsidP="009013D1">
      <w:pPr>
        <w:spacing w:after="0" w:line="240" w:lineRule="auto"/>
      </w:pPr>
      <w:r>
        <w:separator/>
      </w:r>
    </w:p>
  </w:footnote>
  <w:footnote w:type="continuationSeparator" w:id="0">
    <w:p w:rsidR="003D58E1" w:rsidRDefault="003D58E1"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630F9"/>
    <w:rsid w:val="000665B2"/>
    <w:rsid w:val="000703A2"/>
    <w:rsid w:val="00076635"/>
    <w:rsid w:val="000B2239"/>
    <w:rsid w:val="00113104"/>
    <w:rsid w:val="001915CA"/>
    <w:rsid w:val="002A3EF6"/>
    <w:rsid w:val="00324694"/>
    <w:rsid w:val="003A4BA7"/>
    <w:rsid w:val="003D58E1"/>
    <w:rsid w:val="00443436"/>
    <w:rsid w:val="00492EC2"/>
    <w:rsid w:val="00550A3A"/>
    <w:rsid w:val="005941D0"/>
    <w:rsid w:val="005B5207"/>
    <w:rsid w:val="005C6BE7"/>
    <w:rsid w:val="005E068F"/>
    <w:rsid w:val="006006B6"/>
    <w:rsid w:val="00620F81"/>
    <w:rsid w:val="0069034B"/>
    <w:rsid w:val="006C18AF"/>
    <w:rsid w:val="006C5699"/>
    <w:rsid w:val="006D3257"/>
    <w:rsid w:val="0072759A"/>
    <w:rsid w:val="0076233D"/>
    <w:rsid w:val="00782D3D"/>
    <w:rsid w:val="007E11E3"/>
    <w:rsid w:val="007E789C"/>
    <w:rsid w:val="0080155C"/>
    <w:rsid w:val="00803797"/>
    <w:rsid w:val="00813FE8"/>
    <w:rsid w:val="00846650"/>
    <w:rsid w:val="008515B4"/>
    <w:rsid w:val="00883B13"/>
    <w:rsid w:val="008D1162"/>
    <w:rsid w:val="009013D1"/>
    <w:rsid w:val="00913663"/>
    <w:rsid w:val="009532F0"/>
    <w:rsid w:val="009A5F35"/>
    <w:rsid w:val="00A03EDB"/>
    <w:rsid w:val="00A255D7"/>
    <w:rsid w:val="00A54261"/>
    <w:rsid w:val="00A76AF1"/>
    <w:rsid w:val="00AA240E"/>
    <w:rsid w:val="00AC4AC4"/>
    <w:rsid w:val="00AD68DD"/>
    <w:rsid w:val="00B1436F"/>
    <w:rsid w:val="00B5104D"/>
    <w:rsid w:val="00B7577A"/>
    <w:rsid w:val="00B80F6A"/>
    <w:rsid w:val="00BD43E6"/>
    <w:rsid w:val="00BE6088"/>
    <w:rsid w:val="00BF1930"/>
    <w:rsid w:val="00C461EA"/>
    <w:rsid w:val="00C5549D"/>
    <w:rsid w:val="00C67D00"/>
    <w:rsid w:val="00D3597C"/>
    <w:rsid w:val="00DA18CA"/>
    <w:rsid w:val="00DD6C35"/>
    <w:rsid w:val="00E01B20"/>
    <w:rsid w:val="00E3108A"/>
    <w:rsid w:val="00E6752C"/>
    <w:rsid w:val="00E81E3B"/>
    <w:rsid w:val="00E83B0C"/>
    <w:rsid w:val="00EA0C2C"/>
    <w:rsid w:val="00EA5D2B"/>
    <w:rsid w:val="00EF3FEA"/>
    <w:rsid w:val="00F33859"/>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B22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2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sharecenter@str.com" TargetMode="External"/><Relationship Id="rId21" Type="http://schemas.openxmlformats.org/officeDocument/2006/relationships/hyperlink" Target="mailto:chia@ahlei.org" TargetMode="External"/><Relationship Id="rId34"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chia@ahlei.org" TargetMode="External"/><Relationship Id="rId33" Type="http://schemas.openxmlformats.org/officeDocument/2006/relationships/hyperlink" Target="mailto:sharecenter@str.com" TargetMode="Externa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chia@ahlei.org" TargetMode="External"/><Relationship Id="rId32" Type="http://schemas.openxmlformats.org/officeDocument/2006/relationships/hyperlink" Target="mailto:chia@ahlei.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sharecenter@str.com" TargetMode="External"/><Relationship Id="rId28" Type="http://schemas.openxmlformats.org/officeDocument/2006/relationships/hyperlink" Target="mailto:sharecenter@str.com" TargetMode="External"/><Relationship Id="rId36" Type="http://schemas.openxmlformats.org/officeDocument/2006/relationships/fontTable" Target="fontTable.xm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 Id="rId27" Type="http://schemas.openxmlformats.org/officeDocument/2006/relationships/hyperlink" Target="mailto:chia@ahlei.org" TargetMode="External"/><Relationship Id="rId30" Type="http://schemas.openxmlformats.org/officeDocument/2006/relationships/hyperlink" Target="mailto:sharecenter@str.com" TargetMode="External"/><Relationship Id="rId35" Type="http://schemas.openxmlformats.org/officeDocument/2006/relationships/hyperlink" Target="mailto:chia@ahlei.org" TargetMode="External"/><Relationship Id="rId8" Type="http://schemas.openxmlformats.org/officeDocument/2006/relationships/hyperlink" Target="mailto:sharecenter@str.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dcterms:created xsi:type="dcterms:W3CDTF">2019-03-14T09:10:00Z</dcterms:created>
  <dcterms:modified xsi:type="dcterms:W3CDTF">2019-03-14T09:10:00Z</dcterms:modified>
</cp:coreProperties>
</file>